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_GBK" w:hAnsi="宋体" w:eastAsia="方正小标宋_GBK" w:cs="Times New Roman"/>
          <w:kern w:val="2"/>
          <w:sz w:val="44"/>
          <w:szCs w:val="44"/>
          <w:highlight w:val="none"/>
          <w:lang w:eastAsia="zh-CN"/>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_GBK" w:hAnsi="宋体" w:eastAsia="方正小标宋_GBK" w:cs="Times New Roman"/>
          <w:kern w:val="2"/>
          <w:sz w:val="44"/>
          <w:szCs w:val="44"/>
          <w:highlight w:val="none"/>
          <w:lang w:eastAsia="zh-CN"/>
        </w:rPr>
      </w:pPr>
      <w:r>
        <w:rPr>
          <w:rFonts w:hint="eastAsia" w:ascii="方正小标宋_GBK" w:hAnsi="宋体" w:eastAsia="方正小标宋_GBK" w:cs="Times New Roman"/>
          <w:kern w:val="2"/>
          <w:sz w:val="44"/>
          <w:szCs w:val="44"/>
          <w:highlight w:val="none"/>
          <w:lang w:eastAsia="zh-CN"/>
        </w:rPr>
        <w:t>新疆艺术剧院（</w:t>
      </w:r>
      <w:r>
        <w:rPr>
          <w:rFonts w:hint="eastAsia" w:ascii="方正小标宋_GBK" w:hAnsi="宋体" w:eastAsia="方正小标宋_GBK" w:cs="Times New Roman"/>
          <w:kern w:val="2"/>
          <w:sz w:val="44"/>
          <w:szCs w:val="44"/>
          <w:highlight w:val="none"/>
          <w:lang w:val="en-US" w:eastAsia="zh-CN"/>
        </w:rPr>
        <w:t>本级</w:t>
      </w:r>
      <w:r>
        <w:rPr>
          <w:rFonts w:hint="eastAsia" w:ascii="方正小标宋_GBK" w:hAnsi="宋体" w:eastAsia="方正小标宋_GBK" w:cs="Times New Roman"/>
          <w:kern w:val="2"/>
          <w:sz w:val="44"/>
          <w:szCs w:val="44"/>
          <w:highlight w:val="none"/>
          <w:lang w:eastAsia="zh-CN"/>
        </w:rPr>
        <w:t>）2024年度</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_GBK" w:hAnsi="宋体" w:eastAsia="方正小标宋_GBK" w:cs="Times New Roman"/>
          <w:kern w:val="2"/>
          <w:sz w:val="44"/>
          <w:szCs w:val="44"/>
          <w:highlight w:val="none"/>
          <w:lang w:eastAsia="zh-CN"/>
        </w:rPr>
      </w:pPr>
      <w:r>
        <w:rPr>
          <w:rFonts w:hint="eastAsia" w:ascii="方正小标宋_GBK" w:hAnsi="宋体" w:eastAsia="方正小标宋_GBK" w:cs="Times New Roman"/>
          <w:kern w:val="2"/>
          <w:sz w:val="44"/>
          <w:szCs w:val="44"/>
          <w:highlight w:val="none"/>
          <w:lang w:eastAsia="zh-CN"/>
        </w:rPr>
        <w:t>部门决算公开说明</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仿宋_GB2312" w:hAnsi="仿宋_GB2312" w:eastAsia="仿宋_GB2312" w:cs="仿宋_GB2312"/>
          <w:sz w:val="36"/>
          <w:szCs w:val="36"/>
        </w:rPr>
      </w:pPr>
      <w:r>
        <w:rPr>
          <w:rFonts w:hint="eastAsia" w:ascii="仿宋_GB2312" w:hAnsi="仿宋_GB2312" w:eastAsia="仿宋_GB2312" w:cs="仿宋_GB2312"/>
          <w:b/>
          <w:sz w:val="36"/>
          <w:szCs w:val="36"/>
        </w:rPr>
        <w:t>目</w:t>
      </w:r>
      <w:r>
        <w:rPr>
          <w:rFonts w:hint="eastAsia" w:ascii="仿宋_GB2312" w:hAnsi="仿宋_GB2312" w:eastAsia="仿宋_GB2312" w:cs="仿宋_GB2312"/>
          <w:b/>
          <w:sz w:val="36"/>
          <w:szCs w:val="36"/>
          <w:lang w:val="en-US" w:eastAsia="zh-CN"/>
        </w:rPr>
        <w:t xml:space="preserve"> </w:t>
      </w:r>
      <w:r>
        <w:rPr>
          <w:rFonts w:hint="eastAsia" w:ascii="仿宋_GB2312" w:hAnsi="仿宋_GB2312" w:eastAsia="仿宋_GB2312" w:cs="仿宋_GB2312"/>
          <w:b/>
          <w:sz w:val="36"/>
          <w:szCs w:val="36"/>
        </w:rPr>
        <w:t>录</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第二部分</w:t>
      </w:r>
      <w:r>
        <w:rPr>
          <w:rFonts w:hint="eastAsia" w:ascii="仿宋_GB2312" w:eastAsia="仿宋_GB2312"/>
          <w:b/>
          <w:sz w:val="32"/>
          <w:szCs w:val="32"/>
          <w:lang w:val="en-US" w:eastAsia="zh-CN"/>
        </w:rPr>
        <w:t xml:space="preserve"> </w:t>
      </w:r>
      <w:r>
        <w:rPr>
          <w:rFonts w:ascii="仿宋_GB2312" w:eastAsia="仿宋_GB2312"/>
          <w:b/>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第三部分</w:t>
      </w:r>
      <w:r>
        <w:rPr>
          <w:rFonts w:hint="eastAsia" w:ascii="仿宋_GB2312" w:eastAsia="仿宋_GB2312"/>
          <w:b/>
          <w:sz w:val="32"/>
          <w:szCs w:val="32"/>
          <w:lang w:val="en-US" w:eastAsia="zh-CN"/>
        </w:rPr>
        <w:t xml:space="preserve"> </w:t>
      </w:r>
      <w:r>
        <w:rPr>
          <w:rFonts w:ascii="仿宋_GB2312" w:eastAsia="仿宋_GB2312"/>
          <w:b/>
          <w:sz w:val="32"/>
          <w:szCs w:val="32"/>
        </w:rPr>
        <w:t>专业名词解释</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第四部分</w:t>
      </w:r>
      <w:r>
        <w:rPr>
          <w:rFonts w:hint="eastAsia" w:ascii="仿宋_GB2312" w:eastAsia="仿宋_GB2312"/>
          <w:b/>
          <w:sz w:val="32"/>
          <w:szCs w:val="32"/>
          <w:lang w:val="en-US" w:eastAsia="zh-CN"/>
        </w:rPr>
        <w:t xml:space="preserve"> </w:t>
      </w:r>
      <w:r>
        <w:rPr>
          <w:rFonts w:ascii="仿宋_GB2312" w:eastAsia="仿宋_GB2312"/>
          <w:b/>
          <w:sz w:val="32"/>
          <w:szCs w:val="32"/>
        </w:rPr>
        <w:t>部门决算报表（</w:t>
      </w:r>
      <w:r>
        <w:rPr>
          <w:rFonts w:ascii="仿宋_GB2312" w:eastAsia="仿宋_GB2312"/>
          <w:b/>
          <w:sz w:val="32"/>
          <w:szCs w:val="32"/>
          <w:highlight w:val="none"/>
        </w:rPr>
        <w:t>见附</w:t>
      </w:r>
      <w:r>
        <w:rPr>
          <w:rFonts w:hint="eastAsia" w:ascii="仿宋_GB2312" w:eastAsia="仿宋_GB2312"/>
          <w:b/>
          <w:sz w:val="32"/>
          <w:szCs w:val="32"/>
          <w:highlight w:val="none"/>
          <w:lang w:val="en-US" w:eastAsia="zh-CN"/>
        </w:rPr>
        <w:t>件1</w:t>
      </w:r>
      <w:r>
        <w:rPr>
          <w:rFonts w:ascii="仿宋_GB2312" w:eastAsia="仿宋_GB2312"/>
          <w:b/>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b w:val="0"/>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lang w:val="en-US" w:eastAsia="zh-CN"/>
        </w:rPr>
        <w:t>五</w:t>
      </w:r>
      <w:r>
        <w:rPr>
          <w:rFonts w:ascii="仿宋_GB2312" w:eastAsia="仿宋_GB2312"/>
          <w:b/>
          <w:sz w:val="32"/>
          <w:szCs w:val="32"/>
        </w:rPr>
        <w:t>部分</w:t>
      </w:r>
      <w:r>
        <w:rPr>
          <w:rFonts w:hint="eastAsia" w:ascii="仿宋_GB2312" w:eastAsia="仿宋_GB2312"/>
          <w:b/>
          <w:sz w:val="32"/>
          <w:szCs w:val="32"/>
          <w:lang w:val="en-US" w:eastAsia="zh-CN"/>
        </w:rPr>
        <w:t xml:space="preserve"> 项目绩效自评表</w:t>
      </w:r>
      <w:r>
        <w:rPr>
          <w:rFonts w:ascii="仿宋_GB2312" w:eastAsia="仿宋_GB2312"/>
          <w:b/>
          <w:sz w:val="32"/>
          <w:szCs w:val="32"/>
        </w:rPr>
        <w:t>（见附</w:t>
      </w:r>
      <w:r>
        <w:rPr>
          <w:rFonts w:hint="eastAsia" w:ascii="仿宋_GB2312" w:eastAsia="仿宋_GB2312"/>
          <w:b/>
          <w:sz w:val="32"/>
          <w:szCs w:val="32"/>
          <w:lang w:val="en-US" w:eastAsia="zh-CN"/>
        </w:rPr>
        <w:t>件2</w:t>
      </w:r>
      <w:r>
        <w:rPr>
          <w:rFonts w:ascii="仿宋_GB2312" w:eastAsia="仿宋_GB2312"/>
          <w:b/>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lang w:val="en-US" w:eastAsia="zh-CN"/>
        </w:rPr>
        <w:t>六</w:t>
      </w:r>
      <w:r>
        <w:rPr>
          <w:rFonts w:ascii="仿宋_GB2312" w:eastAsia="仿宋_GB2312"/>
          <w:b/>
          <w:sz w:val="32"/>
          <w:szCs w:val="32"/>
        </w:rPr>
        <w:t>部分</w:t>
      </w:r>
      <w:r>
        <w:rPr>
          <w:rFonts w:hint="eastAsia" w:ascii="仿宋_GB2312" w:eastAsia="仿宋_GB2312"/>
          <w:b/>
          <w:sz w:val="32"/>
          <w:szCs w:val="32"/>
          <w:lang w:val="en-US" w:eastAsia="zh-CN"/>
        </w:rPr>
        <w:t xml:space="preserve"> 项目绩效自评报告</w:t>
      </w:r>
      <w:r>
        <w:rPr>
          <w:rFonts w:ascii="仿宋_GB2312" w:eastAsia="仿宋_GB2312"/>
          <w:b/>
          <w:sz w:val="32"/>
          <w:szCs w:val="32"/>
        </w:rPr>
        <w:t>（见附</w:t>
      </w:r>
      <w:r>
        <w:rPr>
          <w:rFonts w:hint="eastAsia" w:ascii="仿宋_GB2312" w:eastAsia="仿宋_GB2312"/>
          <w:b/>
          <w:sz w:val="32"/>
          <w:szCs w:val="32"/>
          <w:lang w:val="en-US" w:eastAsia="zh-CN"/>
        </w:rPr>
        <w:t>件3</w:t>
      </w:r>
      <w:r>
        <w:rPr>
          <w:rFonts w:ascii="仿宋_GB2312" w:eastAsia="仿宋_GB2312"/>
          <w:b/>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b w:val="0"/>
          <w:sz w:val="32"/>
          <w:szCs w:val="32"/>
        </w:rPr>
      </w:pP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艺术剧院是自治区文化和旅游厅所属副厅级事业单位，2009年8月31日正式挂牌成立。下设新疆艺术剧院歌舞团、新疆艺术剧院歌剧团、新疆艺术剧院木卡姆艺术团、新疆艺术剧院话剧团、新疆爱乐乐团、新疆艺术剧院杂技团、新疆艺术剧院民族乐团（新疆民乐团）、新疆人民剧场八家单位，是集中体现我区音乐舞蹈戏剧艺术的最高成就，具有引领全区艺术表演团体发展方向，代表全疆各民族特色艺术最高水准的自治区重点艺术表演团体。我院主要职能为创作、演出新疆少数民族音乐剧（节）目、汉语话剧、少数民族题材话剧、新歌剧（节）目、杂技艺术和木卡姆表演艺术，开发、推广舞台艺术后产品、继承和发展各民族优秀文化艺术，促进自治区文化艺术事业持续健康发展。</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新疆艺术剧院</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本级</w:t>
      </w:r>
      <w:r>
        <w:rPr>
          <w:rFonts w:hint="eastAsia" w:ascii="仿宋_GB2312" w:eastAsia="仿宋_GB2312"/>
          <w:b w:val="0"/>
          <w:sz w:val="32"/>
          <w:szCs w:val="32"/>
          <w:lang w:eastAsia="zh-CN"/>
        </w:rPr>
        <w:t>）</w:t>
      </w:r>
      <w:r>
        <w:rPr>
          <w:rFonts w:ascii="仿宋_GB2312" w:eastAsia="仿宋_GB2312"/>
          <w:b w:val="0"/>
          <w:sz w:val="32"/>
          <w:szCs w:val="32"/>
        </w:rPr>
        <w:t>2024年度，实有人数91人，其中：在职人员49人，减少2人；离休人员0人，</w:t>
      </w:r>
      <w:r>
        <w:rPr>
          <w:rFonts w:hint="eastAsia" w:ascii="仿宋_GB2312" w:eastAsia="仿宋_GB2312"/>
          <w:b w:val="0"/>
          <w:color w:val="auto"/>
          <w:sz w:val="32"/>
          <w:szCs w:val="32"/>
          <w:lang w:val="en-US" w:eastAsia="zh-CN"/>
        </w:rPr>
        <w:t>增加0人</w:t>
      </w:r>
      <w:r>
        <w:rPr>
          <w:rFonts w:ascii="仿宋_GB2312" w:eastAsia="仿宋_GB2312"/>
          <w:b w:val="0"/>
          <w:color w:val="auto"/>
          <w:sz w:val="32"/>
          <w:szCs w:val="32"/>
        </w:rPr>
        <w:t>；</w:t>
      </w:r>
      <w:r>
        <w:rPr>
          <w:rFonts w:ascii="仿宋_GB2312" w:eastAsia="仿宋_GB2312"/>
          <w:b w:val="0"/>
          <w:sz w:val="32"/>
          <w:szCs w:val="32"/>
        </w:rPr>
        <w:t>退休人员42人，增加2人。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新疆艺术剧院</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本级</w:t>
      </w:r>
      <w:r>
        <w:rPr>
          <w:rFonts w:hint="eastAsia" w:ascii="仿宋_GB2312" w:eastAsia="仿宋_GB2312"/>
          <w:b w:val="0"/>
          <w:sz w:val="32"/>
          <w:szCs w:val="32"/>
          <w:lang w:eastAsia="zh-CN"/>
        </w:rPr>
        <w:t>）</w:t>
      </w:r>
      <w:r>
        <w:rPr>
          <w:rFonts w:ascii="仿宋_GB2312" w:eastAsia="仿宋_GB2312"/>
          <w:b w:val="0"/>
          <w:sz w:val="32"/>
          <w:szCs w:val="32"/>
        </w:rPr>
        <w:t>无下属预算单位，下设7个</w:t>
      </w:r>
      <w:r>
        <w:rPr>
          <w:rFonts w:hint="eastAsia" w:ascii="仿宋_GB2312" w:eastAsia="仿宋_GB2312"/>
          <w:b w:val="0"/>
          <w:sz w:val="32"/>
          <w:szCs w:val="32"/>
          <w:lang w:val="en-US" w:eastAsia="zh-CN"/>
        </w:rPr>
        <w:t>处</w:t>
      </w:r>
      <w:r>
        <w:rPr>
          <w:rFonts w:ascii="仿宋_GB2312" w:eastAsia="仿宋_GB2312"/>
          <w:b w:val="0"/>
          <w:sz w:val="32"/>
          <w:szCs w:val="32"/>
          <w:highlight w:val="none"/>
        </w:rPr>
        <w:t>室</w:t>
      </w:r>
      <w:r>
        <w:rPr>
          <w:rFonts w:ascii="仿宋_GB2312" w:eastAsia="仿宋_GB2312"/>
          <w:b w:val="0"/>
          <w:sz w:val="32"/>
          <w:szCs w:val="32"/>
        </w:rPr>
        <w:t>，分别是：综合部、纪检监察室、舞台美术部、后勤管理部、创作研究部、演出推广部、影视制作部。</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2024年度收入总计3,713.30万元，</w:t>
      </w:r>
      <w:r>
        <w:rPr>
          <w:rFonts w:ascii="仿宋_GB2312" w:eastAsia="仿宋_GB2312"/>
          <w:b w:val="0"/>
          <w:sz w:val="32"/>
          <w:szCs w:val="32"/>
        </w:rPr>
        <w:t>其中：本年收入合计3,321.31万元，使用非财政拨款结余（含专用结余）0.00万元，年初结转和结余391.99万元。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2024年度支出总计3,713.30万元，</w:t>
      </w:r>
      <w:r>
        <w:rPr>
          <w:rFonts w:ascii="仿宋_GB2312" w:eastAsia="仿宋_GB2312"/>
          <w:b w:val="0"/>
          <w:sz w:val="32"/>
          <w:szCs w:val="32"/>
        </w:rPr>
        <w:t>其中：本年支出合计3,311.20万元，结余分配0.00万元，年末结转和结余402.10万元。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b w:val="0"/>
          <w:sz w:val="32"/>
          <w:szCs w:val="32"/>
        </w:rPr>
        <w:t>增加520.52万元，增长16.30%，主要原因是：本年度追加文艺精品巡演、文艺晚会项目经费。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本年收入3,321.31万元，</w:t>
      </w:r>
      <w:r>
        <w:rPr>
          <w:rFonts w:ascii="仿宋_GB2312" w:eastAsia="仿宋_GB2312"/>
          <w:b w:val="0"/>
          <w:sz w:val="32"/>
          <w:szCs w:val="32"/>
        </w:rPr>
        <w:t>其中：财政拨款收入2,975.13万元,占89.58%；上级补助收入0.00万元,占0.00%；事业收入83.89万元，占2.53%；经营收入0.00万元,占0.00%；附属单位上缴收入0.00万元，占0.00%；其他收入262.30万元，占7.90%。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本年支出3,311.20万元，</w:t>
      </w:r>
      <w:r>
        <w:rPr>
          <w:rFonts w:ascii="仿宋_GB2312" w:eastAsia="仿宋_GB2312"/>
          <w:b w:val="0"/>
          <w:sz w:val="32"/>
          <w:szCs w:val="32"/>
        </w:rPr>
        <w:t>其中：基本支出1,241.49万元，占37.49%；项目支出2,069.71万元，占62.51%；上缴上级支出0.00万元，占0.00%；经营支出0.00万元，占0.00%；对附属单位补助支出0.00万元，占0.00%。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left"/>
        <w:textAlignment w:val="auto"/>
        <w:rPr>
          <w:rFonts w:ascii="仿宋_GB2312" w:eastAsia="仿宋_GB2312"/>
          <w:sz w:val="32"/>
          <w:szCs w:val="32"/>
        </w:rPr>
      </w:pPr>
      <w:r>
        <w:rPr>
          <w:rFonts w:ascii="仿宋_GB2312" w:eastAsia="仿宋_GB2312"/>
          <w:b/>
          <w:bCs/>
          <w:sz w:val="32"/>
          <w:szCs w:val="32"/>
        </w:rPr>
        <w:t>2024年度财政拨款收入总计2,975.13万元，</w:t>
      </w:r>
      <w:r>
        <w:rPr>
          <w:rFonts w:ascii="仿宋_GB2312" w:eastAsia="仿宋_GB2312"/>
          <w:b w:val="0"/>
          <w:sz w:val="32"/>
          <w:szCs w:val="32"/>
        </w:rPr>
        <w:t>其中：年初财政拨款结转和结余0.00万元，本年财政拨款收入2,975.13万元。</w:t>
      </w:r>
      <w:r>
        <w:rPr>
          <w:rFonts w:ascii="仿宋_GB2312" w:eastAsia="仿宋_GB2312"/>
          <w:b/>
          <w:bCs/>
          <w:sz w:val="32"/>
          <w:szCs w:val="32"/>
        </w:rPr>
        <w:t>财政拨款支出总计2,975.13万元，</w:t>
      </w:r>
      <w:r>
        <w:rPr>
          <w:rFonts w:ascii="仿宋_GB2312" w:eastAsia="仿宋_GB2312"/>
          <w:b w:val="0"/>
          <w:sz w:val="32"/>
          <w:szCs w:val="32"/>
        </w:rPr>
        <w:t>其中：年末财政拨款结转和结余0.00万元，本年财政拨款支出2,975.13万元。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left"/>
        <w:textAlignment w:val="auto"/>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b w:val="0"/>
          <w:sz w:val="32"/>
          <w:szCs w:val="32"/>
        </w:rPr>
        <w:t>增加370.93万元，增长14.24%，主要原因是：本年度追加文艺精品巡演、文艺晚会项目经费。</w:t>
      </w:r>
      <w:r>
        <w:rPr>
          <w:rFonts w:ascii="仿宋_GB2312" w:eastAsia="仿宋_GB2312"/>
          <w:b/>
          <w:bCs/>
          <w:sz w:val="32"/>
          <w:szCs w:val="32"/>
        </w:rPr>
        <w:t>与年初预算相比，</w:t>
      </w:r>
      <w:r>
        <w:rPr>
          <w:rFonts w:ascii="仿宋_GB2312" w:eastAsia="仿宋_GB2312"/>
          <w:b w:val="0"/>
          <w:sz w:val="32"/>
          <w:szCs w:val="32"/>
        </w:rPr>
        <w:t>年初预算数2,248.48万元，决算数2,975.13万元，预决算差异率32.32%，主要原因是：本年度追加文艺精品巡演、新疆人才发展基金、自治区旅游发展专项资金、文艺晚会、采风创作活动项目经费。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2024年度一般公共预算财政拨款支出2,975.13万元，</w:t>
      </w:r>
      <w:r>
        <w:rPr>
          <w:rFonts w:ascii="仿宋_GB2312" w:eastAsia="仿宋_GB2312"/>
          <w:b w:val="0"/>
          <w:sz w:val="32"/>
          <w:szCs w:val="32"/>
        </w:rPr>
        <w:t>占本年支出合计的89.85%。</w:t>
      </w:r>
      <w:r>
        <w:rPr>
          <w:rFonts w:ascii="仿宋_GB2312" w:eastAsia="仿宋_GB2312"/>
          <w:b/>
          <w:bCs/>
          <w:sz w:val="32"/>
          <w:szCs w:val="32"/>
        </w:rPr>
        <w:t>与上年相比，</w:t>
      </w:r>
      <w:r>
        <w:rPr>
          <w:rFonts w:ascii="仿宋_GB2312" w:eastAsia="仿宋_GB2312"/>
          <w:b w:val="0"/>
          <w:sz w:val="32"/>
          <w:szCs w:val="32"/>
        </w:rPr>
        <w:t>增加370.93万元，增长14.24%，主要原因是：本年度追加文艺精品巡演、文艺晚会项目经费。</w:t>
      </w:r>
      <w:r>
        <w:rPr>
          <w:rFonts w:ascii="仿宋_GB2312" w:eastAsia="仿宋_GB2312"/>
          <w:b/>
          <w:bCs/>
          <w:sz w:val="32"/>
          <w:szCs w:val="32"/>
        </w:rPr>
        <w:t>与年初预算相比，</w:t>
      </w:r>
      <w:r>
        <w:rPr>
          <w:rFonts w:ascii="仿宋_GB2312" w:eastAsia="仿宋_GB2312"/>
          <w:b w:val="0"/>
          <w:sz w:val="32"/>
          <w:szCs w:val="32"/>
        </w:rPr>
        <w:t>年初预算数2,248.48万元，决算数2,975.13万元，预决算差异率32.32%，主要原因是：本年度追加文艺精品巡演、新疆人才发展基金、自治区旅游发展专项资金、文艺晚会、采风创作活动项目经费。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文化旅游体育与传媒支出（类）2,965.13万元，占99.66%。</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社会保障和就业支出（类）10.00万元，占0.34%。</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（三）一般公共预算财政拨款支出决算具体情况</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文化旅游体育与传媒支出（类）文化和旅游（款）艺术表演团体（项）：支出决算数为2,709.49万元，比上年决算增加666.63万元，增长32.63%，主要原因是：本年度追加文艺精品巡演、文艺晚会项目经费。</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文化旅游体育与传媒支出（类）文化和旅游（款）文化创作与保护（项）：支出决算数为0.00万元，比上年决算减少84.00万元，下降100.00%，主要原因是：本年度未安排该项支出。</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文化旅游体育与传媒支出（类）文化和旅游（款）旅游宣传（项）：支出决算数为180.00万元，比上年决算增加180.00万元，增长</w:t>
      </w:r>
      <w:r>
        <w:rPr>
          <w:rFonts w:hint="eastAsia" w:ascii="仿宋_GB2312" w:eastAsia="仿宋_GB2312"/>
          <w:b w:val="0"/>
          <w:sz w:val="32"/>
          <w:szCs w:val="32"/>
          <w:lang w:val="en-US" w:eastAsia="zh-CN"/>
        </w:rPr>
        <w:t>10</w:t>
      </w:r>
      <w:r>
        <w:rPr>
          <w:rFonts w:ascii="仿宋_GB2312" w:eastAsia="仿宋_GB2312"/>
          <w:b w:val="0"/>
          <w:sz w:val="32"/>
          <w:szCs w:val="32"/>
        </w:rPr>
        <w:t>0.00%，主要原因是：本年度追加自治区旅游发展专项资金。</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文化旅游体育与传媒支出（类）文化和旅游（款）其他文化和旅游支出（项）：支出决算数为15.00万元，比上年决算减少60.00万元，下降80.00%，主要原因是：本年度自治区旅游发展专项资金调整支出功能分类。</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文化旅游体育与传媒支出（类）其他文化旅游体育与传媒支出（款）其他文化旅游体育与传媒支出（项）：支出决算数为60.64万元，比上年决算减少321.70万元，下降84.14%，主要原因是：</w:t>
      </w:r>
      <w:r>
        <w:rPr>
          <w:rFonts w:hint="eastAsia" w:ascii="仿宋_GB2312" w:eastAsia="仿宋_GB2312"/>
          <w:b w:val="0"/>
          <w:sz w:val="32"/>
          <w:szCs w:val="32"/>
          <w:lang w:val="en-US" w:eastAsia="zh-CN"/>
        </w:rPr>
        <w:t>本年度减少安排该项资金</w:t>
      </w:r>
      <w:r>
        <w:rPr>
          <w:rFonts w:ascii="仿宋_GB2312" w:eastAsia="仿宋_GB2312"/>
          <w:b w:val="0"/>
          <w:sz w:val="32"/>
          <w:szCs w:val="32"/>
        </w:rPr>
        <w:t>。</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社会保障和就业支出（类）人力资源和社会保障管理</w:t>
      </w:r>
      <w:r>
        <w:rPr>
          <w:rFonts w:ascii="仿宋_GB2312" w:eastAsia="仿宋_GB2312"/>
          <w:b w:val="0"/>
          <w:sz w:val="32"/>
          <w:szCs w:val="32"/>
          <w:highlight w:val="none"/>
        </w:rPr>
        <w:t>事务（款）其他人力资源和社会保障管理事务支出（项）：支出决算数为10.00万元，比上年决算增加10.00万元，增长</w:t>
      </w:r>
      <w:r>
        <w:rPr>
          <w:rFonts w:hint="eastAsia" w:ascii="仿宋_GB2312" w:eastAsia="仿宋_GB2312"/>
          <w:b w:val="0"/>
          <w:sz w:val="32"/>
          <w:szCs w:val="32"/>
          <w:highlight w:val="none"/>
          <w:lang w:val="en-US" w:eastAsia="zh-CN"/>
        </w:rPr>
        <w:t>10</w:t>
      </w:r>
      <w:r>
        <w:rPr>
          <w:rFonts w:ascii="仿宋_GB2312" w:eastAsia="仿宋_GB2312"/>
          <w:b w:val="0"/>
          <w:sz w:val="32"/>
          <w:szCs w:val="32"/>
          <w:highlight w:val="none"/>
        </w:rPr>
        <w:t>0.00%，</w:t>
      </w:r>
      <w:r>
        <w:rPr>
          <w:rFonts w:ascii="仿宋_GB2312" w:eastAsia="仿宋_GB2312"/>
          <w:b w:val="0"/>
          <w:sz w:val="32"/>
          <w:szCs w:val="32"/>
        </w:rPr>
        <w:t>主要原因是：本年度追加新疆人才发展基金。</w:t>
      </w:r>
    </w:p>
    <w:p>
      <w:pPr>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农林水支出（类）林业和草原（款）其他林业和草原支出（项）：支出决算数为0.00万元，比上年决算减少20.00万元，下降100.00%，主要原因是：本年度未安排该项支出。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2024年度一般公共预算财政拨款基本支出1,229.49万元，其中：</w:t>
      </w:r>
      <w:r>
        <w:rPr>
          <w:rFonts w:ascii="仿宋_GB2312" w:eastAsia="仿宋_GB2312"/>
          <w:b/>
          <w:bCs/>
          <w:sz w:val="32"/>
          <w:szCs w:val="32"/>
        </w:rPr>
        <w:t>人员经费1,092.55万元，</w:t>
      </w:r>
      <w:r>
        <w:rPr>
          <w:rFonts w:ascii="仿宋_GB2312" w:eastAsia="仿宋_GB2312"/>
          <w:b w:val="0"/>
          <w:sz w:val="32"/>
          <w:szCs w:val="32"/>
        </w:rPr>
        <w:t>包括：基本工资、津贴补贴、奖金、绩效工资、机关事业单位基本养老保险缴费、职业年金缴费、职工基本医疗保险缴费、公务员医疗补助缴费、其他社会保障缴费、住房公积金、其他工资福利支出、退休费和其他对个人和家庭的补助。</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公用经费136.94万元，</w:t>
      </w:r>
      <w:r>
        <w:rPr>
          <w:rFonts w:ascii="仿宋_GB2312" w:eastAsia="仿宋_GB2312"/>
          <w:b w:val="0"/>
          <w:sz w:val="32"/>
          <w:szCs w:val="32"/>
        </w:rPr>
        <w:t>包括：办公费、水费、邮电费、取暖费、差旅费、工会经费、福利费、其他交通费用和其他商品和服务支出。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w:t>
      </w:r>
      <w:r>
        <w:rPr>
          <w:rFonts w:hint="eastAsia" w:ascii="仿宋_GB2312" w:eastAsia="仿宋_GB2312"/>
          <w:b w:val="0"/>
          <w:sz w:val="32"/>
          <w:szCs w:val="32"/>
          <w:lang w:eastAsia="zh-CN"/>
        </w:rPr>
        <w:t>、</w:t>
      </w:r>
      <w:r>
        <w:rPr>
          <w:rFonts w:ascii="仿宋_GB2312" w:eastAsia="仿宋_GB2312"/>
          <w:b w:val="0"/>
          <w:sz w:val="32"/>
          <w:szCs w:val="32"/>
        </w:rPr>
        <w:t>支出及结转和结余</w:t>
      </w:r>
      <w:r>
        <w:rPr>
          <w:rFonts w:hint="eastAsia" w:ascii="仿宋_GB2312" w:eastAsia="仿宋_GB2312"/>
          <w:b w:val="0"/>
          <w:sz w:val="32"/>
          <w:szCs w:val="32"/>
          <w:lang w:eastAsia="zh-CN"/>
        </w:rPr>
        <w:t>，</w:t>
      </w:r>
      <w:r>
        <w:rPr>
          <w:rFonts w:ascii="仿宋_GB2312" w:eastAsia="仿宋_GB2312"/>
          <w:b w:val="0"/>
          <w:sz w:val="32"/>
          <w:szCs w:val="32"/>
        </w:rPr>
        <w:t>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hint="eastAsia" w:ascii="仿宋_GB2312" w:hAnsi="仿宋_GB2312" w:eastAsia="仿宋_GB2312" w:cs="仿宋_GB2312"/>
          <w:b/>
          <w:bCs/>
          <w:sz w:val="32"/>
          <w:szCs w:val="32"/>
        </w:rPr>
        <w:t>2024年度财政拨款“三公”经费支出12.33万元，</w:t>
      </w:r>
      <w:r>
        <w:rPr>
          <w:rFonts w:ascii="仿宋_GB2312" w:eastAsia="仿宋_GB2312"/>
          <w:b w:val="0"/>
          <w:sz w:val="32"/>
          <w:szCs w:val="32"/>
        </w:rPr>
        <w:t>比上年减少2.54万元，下降17.08%，主要原因是：本单位厉行节约，减少三公经费支出。其中：因公出国（境）费支出0.00万元,占0.00%，</w:t>
      </w:r>
      <w:r>
        <w:rPr>
          <w:rFonts w:hint="eastAsia" w:ascii="仿宋_GB2312" w:eastAsia="仿宋_GB2312"/>
          <w:b w:val="0"/>
          <w:sz w:val="32"/>
          <w:szCs w:val="32"/>
          <w:lang w:val="en-US" w:eastAsia="zh-CN"/>
        </w:rPr>
        <w:t>比上年增加0万元，增长0%，</w:t>
      </w:r>
      <w:r>
        <w:rPr>
          <w:rFonts w:ascii="仿宋_GB2312" w:eastAsia="仿宋_GB2312"/>
          <w:b w:val="0"/>
          <w:sz w:val="32"/>
          <w:szCs w:val="32"/>
        </w:rPr>
        <w:t>主要原因是：</w:t>
      </w:r>
      <w:r>
        <w:rPr>
          <w:rFonts w:hint="eastAsia" w:ascii="仿宋_GB2312" w:eastAsia="仿宋_GB2312"/>
          <w:sz w:val="32"/>
          <w:szCs w:val="32"/>
        </w:rPr>
        <w:t>本单位年初预算未安排</w:t>
      </w:r>
      <w:r>
        <w:rPr>
          <w:rFonts w:hint="eastAsia" w:ascii="仿宋_GB2312" w:eastAsia="仿宋_GB2312"/>
          <w:sz w:val="32"/>
          <w:szCs w:val="32"/>
          <w:lang w:val="zh-CN"/>
        </w:rPr>
        <w:t>因公出国（境）费</w:t>
      </w:r>
      <w:r>
        <w:rPr>
          <w:rFonts w:hint="eastAsia" w:ascii="仿宋_GB2312" w:eastAsia="仿宋_GB2312"/>
          <w:sz w:val="32"/>
          <w:szCs w:val="32"/>
        </w:rPr>
        <w:t>支出</w:t>
      </w:r>
      <w:r>
        <w:rPr>
          <w:rFonts w:ascii="仿宋_GB2312" w:eastAsia="仿宋_GB2312"/>
          <w:b w:val="0"/>
          <w:sz w:val="32"/>
          <w:szCs w:val="32"/>
        </w:rPr>
        <w:t>；公务用车购置及运行维护费支出12.33万元，占100.00%，比上年减少2.42万元，下降16.41%，主要原因是：本单位厉行节约</w:t>
      </w:r>
      <w:r>
        <w:rPr>
          <w:rFonts w:hint="eastAsia" w:ascii="仿宋_GB2312" w:eastAsia="仿宋_GB2312"/>
          <w:b w:val="0"/>
          <w:sz w:val="32"/>
          <w:szCs w:val="32"/>
          <w:lang w:eastAsia="zh-CN"/>
        </w:rPr>
        <w:t>，</w:t>
      </w:r>
      <w:r>
        <w:rPr>
          <w:rFonts w:ascii="仿宋_GB2312" w:eastAsia="仿宋_GB2312"/>
          <w:b w:val="0"/>
          <w:sz w:val="32"/>
          <w:szCs w:val="32"/>
        </w:rPr>
        <w:t>年初预算未安排公务用车购置费支出，减少运行维护费支出；公务接待费支出0.00万元，占0.00%，比上年减少0.13万元，下降100%，主要原因是：本单位厉行节约，未发生公务接待费支出。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left"/>
        <w:textAlignment w:val="auto"/>
        <w:rPr>
          <w:rFonts w:ascii="仿宋_GB2312" w:eastAsia="仿宋_GB2312"/>
          <w:b/>
          <w:bCs/>
          <w:sz w:val="32"/>
          <w:szCs w:val="32"/>
        </w:rPr>
      </w:pPr>
      <w:r>
        <w:rPr>
          <w:rFonts w:ascii="仿宋_GB2312" w:eastAsia="仿宋_GB2312"/>
          <w:b/>
          <w:bCs/>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w:t>
      </w:r>
      <w:r>
        <w:rPr>
          <w:rFonts w:ascii="仿宋_GB2312" w:eastAsia="仿宋_GB2312"/>
          <w:b w:val="0"/>
          <w:sz w:val="32"/>
          <w:szCs w:val="32"/>
        </w:rPr>
        <w:t>本单位年初预算未安排因公出国（境）费支出。单位全年安排的因公出国（境）团组0个，因公出国（境）0人次。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公务用车购置及运行维护费12.33万元，其中：公务用车购置费0.00万元，公务用车运行维护费12.33万元。公务用车运行维护费开支内容包括</w:t>
      </w:r>
      <w:r>
        <w:rPr>
          <w:rFonts w:hint="eastAsia" w:ascii="仿宋_GB2312" w:eastAsia="仿宋_GB2312"/>
          <w:b w:val="0"/>
          <w:sz w:val="32"/>
          <w:szCs w:val="32"/>
          <w:lang w:eastAsia="zh-CN"/>
        </w:rPr>
        <w:t>：</w:t>
      </w:r>
      <w:r>
        <w:rPr>
          <w:rFonts w:ascii="仿宋_GB2312" w:eastAsia="仿宋_GB2312"/>
          <w:b w:val="0"/>
          <w:sz w:val="32"/>
          <w:szCs w:val="32"/>
        </w:rPr>
        <w:t>车辆维修费、车辆用油、车辆保险等。公务用车购置数0辆，公务用车保有量6辆。国有资产占用情况中固定资产车辆6辆，与公务用车保有量差异原因是：固定资产车辆数与公务用车保有量无差异。</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w:t>
      </w:r>
      <w:r>
        <w:rPr>
          <w:rFonts w:ascii="仿宋_GB2312" w:eastAsia="仿宋_GB2312"/>
          <w:b w:val="0"/>
          <w:sz w:val="32"/>
          <w:szCs w:val="32"/>
        </w:rPr>
        <w:t>本单位年初预算未安排公务接待费支出。单位全年安排的国内公务接待0批次，0人次。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与全年预算相比</w:t>
      </w:r>
      <w:r>
        <w:rPr>
          <w:rFonts w:ascii="仿宋_GB2312" w:eastAsia="仿宋_GB2312"/>
          <w:b/>
          <w:bCs/>
          <w:sz w:val="32"/>
          <w:szCs w:val="32"/>
          <w:highlight w:val="none"/>
        </w:rPr>
        <w:t>，</w:t>
      </w:r>
      <w:r>
        <w:rPr>
          <w:rFonts w:ascii="仿宋_GB2312" w:eastAsia="仿宋_GB2312"/>
          <w:b w:val="0"/>
          <w:sz w:val="32"/>
          <w:szCs w:val="32"/>
          <w:highlight w:val="none"/>
        </w:rPr>
        <w:t>财政拨款</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三公</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经费支出全年预算数12.33万元，决算数12.33万元，预决算差异率0.00%，主要原因是：本单位严格把控三公经费支出流程</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其中：因公出国（境）费全年预算数0.00万元，决算数0.00万元，预决算差异率0.00%，主要原因是：本单位年初预算未安排因公出国（境）费支出</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公务用车购置费全年预算数0.00万元，决算数0.00万元，预决算差异率0.00%，主要原因是：本单位年初预算未安排公务用车购置费支出</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公务用车运行</w:t>
      </w:r>
      <w:r>
        <w:rPr>
          <w:rFonts w:hint="eastAsia" w:ascii="仿宋_GB2312" w:eastAsia="仿宋_GB2312"/>
          <w:b w:val="0"/>
          <w:sz w:val="32"/>
          <w:szCs w:val="32"/>
          <w:highlight w:val="none"/>
          <w:lang w:val="en-US" w:eastAsia="zh-CN"/>
        </w:rPr>
        <w:t>维护</w:t>
      </w:r>
      <w:r>
        <w:rPr>
          <w:rFonts w:ascii="仿宋_GB2312" w:eastAsia="仿宋_GB2312"/>
          <w:b w:val="0"/>
          <w:sz w:val="32"/>
          <w:szCs w:val="32"/>
          <w:highlight w:val="none"/>
        </w:rPr>
        <w:t>费全年预算数12.33万元</w:t>
      </w:r>
      <w:r>
        <w:rPr>
          <w:rFonts w:ascii="仿宋_GB2312" w:eastAsia="仿宋_GB2312"/>
          <w:b w:val="0"/>
          <w:sz w:val="32"/>
          <w:szCs w:val="32"/>
        </w:rPr>
        <w:t>，决算数12.33万元，预决算差异率0.00%，主要原因是：本单位严格把控三公经费支出流程</w:t>
      </w:r>
      <w:r>
        <w:rPr>
          <w:rFonts w:hint="eastAsia" w:ascii="仿宋_GB2312" w:eastAsia="仿宋_GB2312"/>
          <w:b w:val="0"/>
          <w:sz w:val="32"/>
          <w:szCs w:val="32"/>
          <w:lang w:eastAsia="zh-CN"/>
        </w:rPr>
        <w:t>；</w:t>
      </w:r>
      <w:r>
        <w:rPr>
          <w:rFonts w:ascii="仿宋_GB2312" w:eastAsia="仿宋_GB2312"/>
          <w:b w:val="0"/>
          <w:sz w:val="32"/>
          <w:szCs w:val="32"/>
        </w:rPr>
        <w:t>公务接待费全年预算数0.00万元，决算数0.00万元，预决算差异率0.00%，主要原因是：本单位年初预算未安排公务接待费</w:t>
      </w:r>
      <w:r>
        <w:rPr>
          <w:rFonts w:hint="eastAsia" w:ascii="仿宋_GB2312" w:eastAsia="仿宋_GB2312"/>
          <w:b w:val="0"/>
          <w:sz w:val="32"/>
          <w:szCs w:val="32"/>
          <w:lang w:eastAsia="zh-CN"/>
        </w:rPr>
        <w:t>支出</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color w:val="auto"/>
          <w:sz w:val="32"/>
          <w:szCs w:val="32"/>
          <w:highlight w:val="none"/>
          <w:lang w:val="en-US" w:eastAsia="zh-CN"/>
        </w:rPr>
        <w:t>新疆艺术剧院</w:t>
      </w:r>
      <w:r>
        <w:rPr>
          <w:rFonts w:ascii="仿宋_GB2312" w:eastAsia="仿宋_GB2312"/>
          <w:b w:val="0"/>
          <w:sz w:val="32"/>
          <w:szCs w:val="32"/>
        </w:rPr>
        <w:t>公用经费支出136.94万元，比上年减少9.72万元，下降6.63%，主要原因是：本单位厉行节约，严格把控公用经费支出流程。</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2024年度政府采购支出总额584.79万元，其中：政府采购货物支出172.18万元、政府采购工程支出7.80万元、政府采购服务支出404.81万元。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授予中小企业合同金额583.37万元，占政府采购支出总额的99.76%，其中：授予小微企业合同金额583.37万元，占政府采购支出总额的99.76%。</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hint="eastAsia" w:ascii="黑体" w:hAnsi="黑体" w:eastAsia="黑体" w:cs="黑体"/>
          <w:b w:val="0"/>
          <w:bCs/>
          <w:sz w:val="32"/>
          <w:szCs w:val="32"/>
        </w:rPr>
      </w:pPr>
      <w:r>
        <w:rPr>
          <w:rFonts w:hint="eastAsia" w:ascii="黑体" w:hAnsi="黑体" w:eastAsia="黑体" w:cs="黑体"/>
          <w:b w:val="0"/>
          <w:bCs/>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460.00平方米，价值202.96万元。车辆6辆，价值133.00万元，其中：副部（省）级及以上领导用车0辆、主要负责人用车0辆、机要通信用车0辆、应急保障用车0辆、执法执勤用车0辆、特种专业技术用车0辆、离退休干部服务用车0辆、其他用车6辆，其他用车主要是：一般公务用车</w:t>
      </w:r>
      <w:r>
        <w:rPr>
          <w:rFonts w:hint="eastAsia" w:ascii="仿宋_GB2312" w:eastAsia="仿宋_GB2312"/>
          <w:b w:val="0"/>
          <w:sz w:val="32"/>
          <w:szCs w:val="32"/>
          <w:lang w:eastAsia="zh-CN"/>
        </w:rPr>
        <w:t>。</w:t>
      </w:r>
      <w:r>
        <w:rPr>
          <w:rFonts w:ascii="仿宋_GB2312" w:eastAsia="仿宋_GB2312"/>
          <w:b w:val="0"/>
          <w:sz w:val="32"/>
          <w:szCs w:val="32"/>
        </w:rPr>
        <w:t>单价100万元（含）以上设备（不含车辆）4台（套）。</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根据预算绩效管理要求，本单位2024年度预算绩效评价项目2个，全年预算数560.78万元，全年执行数560.78万元</w:t>
      </w:r>
      <w:r>
        <w:rPr>
          <w:rFonts w:hint="eastAsia" w:ascii="仿宋_GB2312" w:eastAsia="仿宋_GB2312"/>
          <w:b w:val="0"/>
          <w:sz w:val="32"/>
          <w:szCs w:val="32"/>
          <w:lang w:eastAsia="zh-CN"/>
        </w:rPr>
        <w:t>。</w:t>
      </w:r>
      <w:r>
        <w:rPr>
          <w:rFonts w:ascii="仿宋_GB2312" w:eastAsia="仿宋_GB2312"/>
          <w:b w:val="0"/>
          <w:sz w:val="32"/>
          <w:szCs w:val="32"/>
        </w:rPr>
        <w:t>预算绩效管理取</w:t>
      </w:r>
      <w:r>
        <w:rPr>
          <w:rFonts w:ascii="仿宋_GB2312" w:eastAsia="仿宋_GB2312"/>
          <w:b w:val="0"/>
          <w:sz w:val="32"/>
          <w:szCs w:val="32"/>
          <w:highlight w:val="none"/>
        </w:rPr>
        <w:t>得的成效：一是从</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重支出轻绩效</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向</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以绩效为导向</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完成初步转变；二是资金使用效率明显增强</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发现的问题及原因：</w:t>
      </w:r>
      <w:r>
        <w:rPr>
          <w:rFonts w:hint="eastAsia" w:ascii="仿宋_GB2312" w:eastAsia="仿宋_GB2312"/>
          <w:b w:val="0"/>
          <w:sz w:val="32"/>
          <w:szCs w:val="32"/>
          <w:highlight w:val="none"/>
        </w:rPr>
        <w:t>一是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二是项目实施过程中，存在指标控制不够精准，指标完成出现偏差</w:t>
      </w:r>
      <w:r>
        <w:rPr>
          <w:rFonts w:hint="eastAsia" w:ascii="仿宋_GB2312" w:eastAsia="仿宋_GB2312"/>
          <w:b w:val="0"/>
          <w:sz w:val="32"/>
          <w:szCs w:val="32"/>
          <w:highlight w:val="none"/>
          <w:lang w:eastAsia="zh-CN"/>
        </w:rPr>
        <w:t>。</w:t>
      </w:r>
      <w:r>
        <w:rPr>
          <w:rFonts w:ascii="仿宋_GB2312" w:eastAsia="仿宋_GB2312"/>
          <w:b w:val="0"/>
          <w:sz w:val="32"/>
          <w:szCs w:val="32"/>
        </w:rPr>
        <w:t>下一步改进措施：一是不断建立完善与全面实施绩效管理相适应的制度体系；二是不断提高预算绩效管理水平，并不断增强预算绩效管理的约束力。具体附项目支出绩效自评表</w:t>
      </w:r>
      <w:r>
        <w:rPr>
          <w:rFonts w:hint="eastAsia" w:ascii="仿宋_GB2312" w:eastAsia="仿宋_GB2312"/>
          <w:b w:val="0"/>
          <w:sz w:val="32"/>
          <w:szCs w:val="32"/>
          <w:lang w:eastAsia="zh-CN"/>
        </w:rPr>
        <w:t>（</w:t>
      </w:r>
      <w:r>
        <w:rPr>
          <w:rFonts w:ascii="仿宋_GB2312" w:eastAsia="仿宋_GB2312"/>
          <w:b w:val="0"/>
          <w:sz w:val="32"/>
          <w:szCs w:val="32"/>
        </w:rPr>
        <w:t>见附</w:t>
      </w:r>
      <w:r>
        <w:rPr>
          <w:rFonts w:hint="eastAsia" w:ascii="仿宋_GB2312" w:eastAsia="仿宋_GB2312"/>
          <w:b w:val="0"/>
          <w:sz w:val="32"/>
          <w:szCs w:val="32"/>
          <w:lang w:val="en-US" w:eastAsia="zh-CN"/>
        </w:rPr>
        <w:t>件2</w:t>
      </w:r>
      <w:r>
        <w:rPr>
          <w:rFonts w:hint="eastAsia" w:ascii="仿宋_GB2312" w:eastAsia="仿宋_GB2312"/>
          <w:b w:val="0"/>
          <w:sz w:val="32"/>
          <w:szCs w:val="32"/>
          <w:lang w:eastAsia="zh-CN"/>
        </w:rPr>
        <w:t>）</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sz w:val="32"/>
          <w:szCs w:val="32"/>
          <w:lang w:eastAsia="zh-CN"/>
        </w:rPr>
      </w:pPr>
      <w:r>
        <w:rPr>
          <w:rFonts w:ascii="仿宋_GB2312" w:eastAsia="仿宋_GB2312"/>
          <w:b w:val="0"/>
          <w:sz w:val="32"/>
          <w:szCs w:val="32"/>
        </w:rPr>
        <w:t>本单位无其他需说明事项</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textAlignment w:val="auto"/>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w:t>
      </w:r>
      <w:r>
        <w:rPr>
          <w:rFonts w:hint="eastAsia" w:ascii="仿宋_GB2312" w:eastAsia="仿宋_GB2312"/>
          <w:b w:val="0"/>
          <w:sz w:val="32"/>
          <w:szCs w:val="32"/>
          <w:lang w:eastAsia="zh-CN"/>
        </w:rPr>
        <w:t>“</w:t>
      </w:r>
      <w:r>
        <w:rPr>
          <w:rFonts w:ascii="仿宋_GB2312" w:eastAsia="仿宋_GB2312"/>
          <w:b w:val="0"/>
          <w:sz w:val="32"/>
          <w:szCs w:val="32"/>
        </w:rPr>
        <w:t>财政拨款收入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附属单位上缴收入</w:t>
      </w:r>
      <w:r>
        <w:rPr>
          <w:rFonts w:hint="eastAsia" w:ascii="仿宋_GB2312" w:eastAsia="仿宋_GB2312"/>
          <w:b w:val="0"/>
          <w:sz w:val="32"/>
          <w:szCs w:val="32"/>
          <w:lang w:eastAsia="zh-CN"/>
        </w:rPr>
        <w:t>”</w:t>
      </w:r>
      <w:r>
        <w:rPr>
          <w:rFonts w:ascii="仿宋_GB2312" w:eastAsia="仿宋_GB2312"/>
          <w:b w:val="0"/>
          <w:sz w:val="32"/>
          <w:szCs w:val="32"/>
        </w:rPr>
        <w:t>等之外取得的收入。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b w:val="0"/>
          <w:sz w:val="32"/>
          <w:szCs w:val="32"/>
        </w:rPr>
        <w:t>指用财政拨款安排的因公出国（境）费、公务用车购置及运行费和公务接待费。其中，因公出国（境）费反映单位公务出国（境）的国</w:t>
      </w:r>
      <w:bookmarkStart w:id="0" w:name="_GoBack"/>
      <w:bookmarkEnd w:id="0"/>
      <w:r>
        <w:rPr>
          <w:rFonts w:ascii="仿宋_GB2312" w:eastAsia="仿宋_GB2312"/>
          <w:b w:val="0"/>
          <w:sz w:val="32"/>
          <w:szCs w:val="32"/>
        </w:rPr>
        <w:t>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w:t>
      </w:r>
      <w:r>
        <w:rPr>
          <w:rFonts w:hint="eastAsia" w:ascii="黑体" w:eastAsia="黑体"/>
          <w:b w:val="0"/>
          <w:sz w:val="32"/>
          <w:szCs w:val="32"/>
          <w:lang w:val="en-US" w:eastAsia="zh-CN"/>
        </w:rPr>
        <w:t>附件1</w:t>
      </w:r>
      <w:r>
        <w:rPr>
          <w:rFonts w:ascii="黑体" w:eastAsia="黑体"/>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b w:val="0"/>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w:t>
      </w:r>
      <w:r>
        <w:rPr>
          <w:rFonts w:hint="eastAsia" w:ascii="黑体" w:eastAsia="黑体"/>
          <w:sz w:val="32"/>
          <w:szCs w:val="32"/>
          <w:lang w:val="en-US" w:eastAsia="zh-CN"/>
        </w:rPr>
        <w:t>五</w:t>
      </w:r>
      <w:r>
        <w:rPr>
          <w:rFonts w:ascii="黑体" w:eastAsia="黑体"/>
          <w:sz w:val="32"/>
          <w:szCs w:val="32"/>
        </w:rPr>
        <w:t>部分</w:t>
      </w:r>
      <w:r>
        <w:rPr>
          <w:rFonts w:hint="eastAsia" w:ascii="黑体" w:eastAsia="黑体"/>
          <w:sz w:val="32"/>
          <w:szCs w:val="32"/>
          <w:lang w:val="en-US" w:eastAsia="zh-CN"/>
        </w:rPr>
        <w:t xml:space="preserve"> 项目绩效自评表</w:t>
      </w:r>
      <w:r>
        <w:rPr>
          <w:rFonts w:ascii="黑体" w:eastAsia="黑体"/>
          <w:sz w:val="32"/>
          <w:szCs w:val="32"/>
        </w:rPr>
        <w:t>（见附</w:t>
      </w:r>
      <w:r>
        <w:rPr>
          <w:rFonts w:hint="eastAsia" w:ascii="黑体" w:eastAsia="黑体"/>
          <w:sz w:val="32"/>
          <w:szCs w:val="32"/>
          <w:lang w:val="en-US" w:eastAsia="zh-CN"/>
        </w:rPr>
        <w:t>件2</w:t>
      </w:r>
      <w:r>
        <w:rPr>
          <w:rFonts w:ascii="黑体" w:eastAsia="黑体"/>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hint="eastAsia" w:ascii="黑体" w:eastAsia="黑体"/>
          <w:sz w:val="32"/>
          <w:szCs w:val="32"/>
          <w:lang w:val="en-US" w:eastAsia="zh-CN"/>
        </w:rPr>
        <w:t xml:space="preserve">  </w:t>
      </w:r>
      <w:r>
        <w:rPr>
          <w:rFonts w:ascii="黑体" w:eastAsia="黑体"/>
          <w:sz w:val="32"/>
          <w:szCs w:val="32"/>
        </w:rPr>
        <w:t>第</w:t>
      </w:r>
      <w:r>
        <w:rPr>
          <w:rFonts w:hint="eastAsia" w:ascii="黑体" w:eastAsia="黑体"/>
          <w:sz w:val="32"/>
          <w:szCs w:val="32"/>
          <w:lang w:val="en-US" w:eastAsia="zh-CN"/>
        </w:rPr>
        <w:t>六</w:t>
      </w:r>
      <w:r>
        <w:rPr>
          <w:rFonts w:ascii="黑体" w:eastAsia="黑体"/>
          <w:sz w:val="32"/>
          <w:szCs w:val="32"/>
        </w:rPr>
        <w:t>部分</w:t>
      </w:r>
      <w:r>
        <w:rPr>
          <w:rFonts w:hint="eastAsia" w:ascii="黑体" w:eastAsia="黑体"/>
          <w:sz w:val="32"/>
          <w:szCs w:val="32"/>
          <w:lang w:val="en-US" w:eastAsia="zh-CN"/>
        </w:rPr>
        <w:t xml:space="preserve"> 项目绩效自评报告</w:t>
      </w:r>
      <w:r>
        <w:rPr>
          <w:rFonts w:ascii="黑体" w:eastAsia="黑体"/>
          <w:sz w:val="32"/>
          <w:szCs w:val="32"/>
        </w:rPr>
        <w:t>（见附</w:t>
      </w:r>
      <w:r>
        <w:rPr>
          <w:rFonts w:hint="eastAsia" w:ascii="黑体" w:eastAsia="黑体"/>
          <w:sz w:val="32"/>
          <w:szCs w:val="32"/>
          <w:lang w:val="en-US" w:eastAsia="zh-CN"/>
        </w:rPr>
        <w:t>件3</w:t>
      </w:r>
      <w:r>
        <w:rPr>
          <w:rFonts w:ascii="黑体" w:eastAsia="黑体"/>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b w:val="0"/>
          <w:sz w:val="32"/>
          <w:szCs w:val="32"/>
        </w:rPr>
      </w:pPr>
    </w:p>
    <w:p>
      <w:pPr>
        <w:keepNext w:val="0"/>
        <w:keepLines w:val="0"/>
        <w:pageBreakBefore w:val="0"/>
        <w:widowControl/>
        <w:kinsoku/>
        <w:wordWrap/>
        <w:overflowPunct/>
        <w:topLinePunct w:val="0"/>
        <w:autoSpaceDE/>
        <w:autoSpaceDN/>
        <w:bidi w:val="0"/>
        <w:adjustRightInd/>
        <w:snapToGrid/>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36469C"/>
    <w:rsid w:val="06BA62DE"/>
    <w:rsid w:val="09661630"/>
    <w:rsid w:val="0AA7054E"/>
    <w:rsid w:val="0D3B0430"/>
    <w:rsid w:val="107E484D"/>
    <w:rsid w:val="14040D9E"/>
    <w:rsid w:val="14620BB6"/>
    <w:rsid w:val="15FDE798"/>
    <w:rsid w:val="16F51E76"/>
    <w:rsid w:val="1F4B54DB"/>
    <w:rsid w:val="212D5A1B"/>
    <w:rsid w:val="30372829"/>
    <w:rsid w:val="3287538B"/>
    <w:rsid w:val="3A134165"/>
    <w:rsid w:val="52C5051E"/>
    <w:rsid w:val="532D2B9D"/>
    <w:rsid w:val="59C274E0"/>
    <w:rsid w:val="5EA111C0"/>
    <w:rsid w:val="5FDD4F19"/>
    <w:rsid w:val="62525BE3"/>
    <w:rsid w:val="6936469C"/>
    <w:rsid w:val="BF4B29B2"/>
    <w:rsid w:val="C1FB1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2"/>
    <w:basedOn w:val="1"/>
    <w:next w:val="1"/>
    <w:unhideWhenUsed/>
    <w:qFormat/>
    <w:uiPriority w:val="9"/>
    <w:pPr>
      <w:keepNext/>
      <w:keepLines/>
      <w:spacing w:before="200"/>
      <w:outlineLvl w:val="1"/>
    </w:pPr>
    <w:rPr>
      <w:rFonts w:asciiTheme="majorHAnsi" w:hAnsiTheme="majorHAnsi" w:eastAsiaTheme="majorEastAsia" w:cstheme="majorBidi"/>
      <w:b/>
      <w:bCs/>
      <w:color w:val="4874CB" w:themeColor="accent1"/>
      <w:sz w:val="26"/>
      <w:szCs w:val="26"/>
      <w14:textFill>
        <w14:solidFill>
          <w14:schemeClr w14:val="accent1"/>
        </w14:solidFill>
      </w14:textFill>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5465</Words>
  <Characters>6117</Characters>
  <Lines>0</Lines>
  <Paragraphs>0</Paragraphs>
  <TotalTime>3</TotalTime>
  <ScaleCrop>false</ScaleCrop>
  <LinksUpToDate>false</LinksUpToDate>
  <CharactersWithSpaces>6130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2025-08-15T09:25:00Z</dcterms:created>
  <dc:creator>蝈蝈怡</dc:creator>
  <cp:lastModifiedBy>wlt</cp:lastModifiedBy>
  <dcterms:modified xsi:type="dcterms:W3CDTF">2025-08-28T12:24:11Z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CC615A3CFB6D46FB93E3BAB323E9788F_11</vt:lpwstr>
  </property>
  <property fmtid="{D5CDD505-2E9C-101B-9397-08002B2CF9AE}" pid="4" name="KSOTemplateDocerSaveRecord">
    <vt:lpwstr>eyJoZGlkIjoiNDU1MjIyNTU3ODNhMDQ5ZjViNjYxY2VmZTNkYTg4MzAiLCJ1c2VySWQiOiIzMzI5MjMyOTMifQ==</vt:lpwstr>
  </property>
</Properties>
</file>